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53F" w:rsidRDefault="000F253F" w:rsidP="000F253F">
      <w:pPr>
        <w:ind w:firstLine="0"/>
        <w:jc w:val="left"/>
        <w:rPr>
          <w:rFonts w:ascii="Times New Roman" w:eastAsia="Calibri" w:hAnsi="Times New Roman"/>
          <w:sz w:val="18"/>
          <w:szCs w:val="18"/>
          <w:lang w:val="en-US" w:eastAsia="en-US"/>
        </w:rPr>
      </w:pPr>
    </w:p>
    <w:p w:rsidR="00CA24D1" w:rsidRPr="00C83203" w:rsidRDefault="00640D16" w:rsidP="0006145B">
      <w:pPr>
        <w:spacing w:after="100"/>
        <w:ind w:firstLine="0"/>
        <w:jc w:val="left"/>
        <w:rPr>
          <w:rFonts w:ascii="Times New Roman" w:eastAsia="Calibri" w:hAnsi="Times New Roman"/>
          <w:sz w:val="20"/>
          <w:szCs w:val="22"/>
          <w:lang w:val="en-US" w:eastAsia="en-US"/>
        </w:rPr>
      </w:pPr>
      <w:r w:rsidRPr="00B51D39">
        <w:rPr>
          <w:rFonts w:ascii="Times New Roman" w:eastAsia="Calibri" w:hAnsi="Times New Roman"/>
          <w:sz w:val="18"/>
          <w:szCs w:val="18"/>
          <w:lang w:eastAsia="en-US"/>
        </w:rPr>
        <w:t>УДК 621.3</w:t>
      </w:r>
      <w:r w:rsidR="00C83203">
        <w:rPr>
          <w:rFonts w:ascii="Times New Roman" w:eastAsia="Calibri" w:hAnsi="Times New Roman"/>
          <w:sz w:val="18"/>
          <w:szCs w:val="18"/>
          <w:lang w:val="en-US" w:eastAsia="en-US"/>
        </w:rPr>
        <w:t>11.1</w:t>
      </w:r>
    </w:p>
    <w:p w:rsidR="006966EA" w:rsidRPr="00B47B06" w:rsidRDefault="00FF763D" w:rsidP="000F253F">
      <w:pPr>
        <w:ind w:firstLine="0"/>
        <w:jc w:val="center"/>
        <w:rPr>
          <w:rFonts w:ascii="Times New Roman" w:eastAsia="Calibri" w:hAnsi="Times New Roman"/>
          <w:sz w:val="20"/>
          <w:szCs w:val="22"/>
          <w:lang w:val="en-US" w:eastAsia="en-US"/>
        </w:rPr>
      </w:pPr>
      <w:r>
        <w:rPr>
          <w:rFonts w:ascii="Times New Roman" w:eastAsia="Calibri" w:hAnsi="Times New Roman"/>
          <w:sz w:val="20"/>
          <w:szCs w:val="22"/>
          <w:lang w:eastAsia="en-US"/>
        </w:rPr>
        <w:t>Л</w:t>
      </w:r>
      <w:r w:rsidR="00640D16" w:rsidRPr="00B47B06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>
        <w:rPr>
          <w:rFonts w:ascii="Times New Roman" w:eastAsia="Calibri" w:hAnsi="Times New Roman"/>
          <w:sz w:val="20"/>
          <w:szCs w:val="22"/>
          <w:lang w:eastAsia="en-US"/>
        </w:rPr>
        <w:t>И</w:t>
      </w:r>
      <w:r w:rsidR="00640D16"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eastAsia="en-US"/>
        </w:rPr>
        <w:t>Абдуллин</w:t>
      </w:r>
      <w:r w:rsidRPr="00B47B06">
        <w:rPr>
          <w:rFonts w:ascii="Times New Roman" w:eastAsia="Calibri" w:hAnsi="Times New Roman"/>
          <w:sz w:val="20"/>
          <w:szCs w:val="22"/>
          <w:vertAlign w:val="superscript"/>
          <w:lang w:val="en-US" w:eastAsia="en-US"/>
        </w:rPr>
        <w:t>1</w:t>
      </w:r>
      <w:r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, </w:t>
      </w:r>
      <w:r>
        <w:rPr>
          <w:rFonts w:ascii="Times New Roman" w:eastAsia="Calibri" w:hAnsi="Times New Roman"/>
          <w:sz w:val="20"/>
          <w:szCs w:val="22"/>
          <w:lang w:eastAsia="en-US"/>
        </w:rPr>
        <w:t>Г</w:t>
      </w:r>
      <w:r w:rsidRPr="00B47B06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>
        <w:rPr>
          <w:rFonts w:ascii="Times New Roman" w:eastAsia="Calibri" w:hAnsi="Times New Roman"/>
          <w:sz w:val="20"/>
          <w:szCs w:val="22"/>
          <w:lang w:eastAsia="en-US"/>
        </w:rPr>
        <w:t>В</w:t>
      </w:r>
      <w:r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r>
        <w:rPr>
          <w:rFonts w:ascii="Times New Roman" w:eastAsia="Calibri" w:hAnsi="Times New Roman"/>
          <w:sz w:val="20"/>
          <w:szCs w:val="22"/>
          <w:lang w:eastAsia="en-US"/>
        </w:rPr>
        <w:t>Вагапов</w:t>
      </w:r>
      <w:r w:rsidRPr="00B47B06">
        <w:rPr>
          <w:rFonts w:ascii="Times New Roman" w:eastAsia="Calibri" w:hAnsi="Times New Roman"/>
          <w:sz w:val="20"/>
          <w:szCs w:val="22"/>
          <w:vertAlign w:val="superscript"/>
          <w:lang w:val="en-US" w:eastAsia="en-US"/>
        </w:rPr>
        <w:t>2</w:t>
      </w:r>
      <w:r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, 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Э</w:t>
      </w:r>
      <w:r w:rsidR="004815F9" w:rsidRPr="00B47B06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Р</w:t>
      </w:r>
      <w:r w:rsidR="004815F9"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r w:rsidR="0044076F">
        <w:rPr>
          <w:rFonts w:ascii="Times New Roman" w:eastAsia="Calibri" w:hAnsi="Times New Roman"/>
          <w:sz w:val="20"/>
          <w:szCs w:val="22"/>
          <w:lang w:eastAsia="en-US"/>
        </w:rPr>
        <w:t>Ба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лявина</w:t>
      </w:r>
      <w:r w:rsidR="004815F9" w:rsidRPr="00B47B06">
        <w:rPr>
          <w:rFonts w:ascii="Times New Roman" w:eastAsia="Calibri" w:hAnsi="Times New Roman"/>
          <w:sz w:val="20"/>
          <w:szCs w:val="22"/>
          <w:vertAlign w:val="superscript"/>
          <w:lang w:val="en-US" w:eastAsia="en-US"/>
        </w:rPr>
        <w:t>1</w:t>
      </w:r>
      <w:r w:rsidR="004815F9"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, 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А</w:t>
      </w:r>
      <w:r w:rsidR="004815F9" w:rsidRPr="00B47B06">
        <w:rPr>
          <w:rFonts w:ascii="Times New Roman" w:eastAsia="Calibri" w:hAnsi="Times New Roman"/>
          <w:sz w:val="20"/>
          <w:szCs w:val="22"/>
          <w:lang w:val="en-US" w:eastAsia="en-US"/>
        </w:rPr>
        <w:t>.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Ф</w:t>
      </w:r>
      <w:r w:rsidR="004815F9"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. 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Абдуллазянов</w:t>
      </w:r>
      <w:r w:rsidR="004815F9" w:rsidRPr="00B47B06">
        <w:rPr>
          <w:rFonts w:ascii="Times New Roman" w:eastAsia="Calibri" w:hAnsi="Times New Roman"/>
          <w:sz w:val="20"/>
          <w:szCs w:val="22"/>
          <w:vertAlign w:val="superscript"/>
          <w:lang w:val="en-US" w:eastAsia="en-US"/>
        </w:rPr>
        <w:t>2</w:t>
      </w:r>
      <w:r w:rsidR="006966EA" w:rsidRPr="00B47B06">
        <w:rPr>
          <w:rFonts w:ascii="Times New Roman" w:eastAsia="Calibri" w:hAnsi="Times New Roman"/>
          <w:sz w:val="20"/>
          <w:szCs w:val="22"/>
          <w:lang w:val="en-US" w:eastAsia="en-US"/>
        </w:rPr>
        <w:t xml:space="preserve"> </w:t>
      </w:r>
    </w:p>
    <w:p w:rsidR="004815F9" w:rsidRDefault="00640D16" w:rsidP="000F253F">
      <w:pPr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(г. 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Казань</w:t>
      </w:r>
      <w:r w:rsidRPr="00640D16">
        <w:rPr>
          <w:rFonts w:ascii="Times New Roman" w:eastAsia="Calibri" w:hAnsi="Times New Roman"/>
          <w:sz w:val="20"/>
          <w:szCs w:val="22"/>
          <w:lang w:eastAsia="en-US"/>
        </w:rPr>
        <w:t xml:space="preserve">, </w:t>
      </w:r>
      <w:r w:rsidR="000F253F" w:rsidRPr="004815F9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1</w:t>
      </w:r>
      <w:r w:rsidR="004815F9">
        <w:rPr>
          <w:rFonts w:ascii="Times New Roman" w:eastAsia="Calibri" w:hAnsi="Times New Roman"/>
          <w:sz w:val="20"/>
          <w:szCs w:val="22"/>
          <w:lang w:eastAsia="en-US"/>
        </w:rPr>
        <w:t>АО «Сетевая компания»,</w:t>
      </w:r>
    </w:p>
    <w:p w:rsidR="00755534" w:rsidRPr="005A4EEB" w:rsidRDefault="004815F9" w:rsidP="0006145B">
      <w:pPr>
        <w:spacing w:after="100"/>
        <w:ind w:firstLine="0"/>
        <w:jc w:val="center"/>
        <w:rPr>
          <w:rFonts w:ascii="Times New Roman" w:eastAsia="Calibri" w:hAnsi="Times New Roman"/>
          <w:sz w:val="20"/>
          <w:szCs w:val="22"/>
          <w:lang w:eastAsia="en-US"/>
        </w:rPr>
      </w:pPr>
      <w:r w:rsidRPr="004815F9">
        <w:rPr>
          <w:rFonts w:ascii="Times New Roman" w:eastAsia="Calibri" w:hAnsi="Times New Roman"/>
          <w:sz w:val="20"/>
          <w:szCs w:val="22"/>
          <w:vertAlign w:val="superscript"/>
          <w:lang w:eastAsia="en-US"/>
        </w:rPr>
        <w:t>2</w:t>
      </w:r>
      <w:r>
        <w:rPr>
          <w:rFonts w:ascii="Times New Roman" w:eastAsia="Calibri" w:hAnsi="Times New Roman"/>
          <w:sz w:val="20"/>
          <w:szCs w:val="22"/>
          <w:lang w:eastAsia="en-US"/>
        </w:rPr>
        <w:t>Казанский государстве</w:t>
      </w:r>
      <w:r w:rsidR="000F253F">
        <w:rPr>
          <w:rFonts w:ascii="Times New Roman" w:eastAsia="Calibri" w:hAnsi="Times New Roman"/>
          <w:sz w:val="20"/>
          <w:szCs w:val="22"/>
          <w:lang w:eastAsia="en-US"/>
        </w:rPr>
        <w:t>нный энергетический университет</w:t>
      </w:r>
      <w:r w:rsidR="00640D16" w:rsidRPr="00640D16">
        <w:rPr>
          <w:rFonts w:ascii="Times New Roman" w:eastAsia="Calibri" w:hAnsi="Times New Roman"/>
          <w:sz w:val="20"/>
          <w:szCs w:val="22"/>
          <w:lang w:eastAsia="en-US"/>
        </w:rPr>
        <w:t>)</w:t>
      </w:r>
    </w:p>
    <w:p w:rsidR="00640D16" w:rsidRPr="00AF2BD7" w:rsidRDefault="00B47B06" w:rsidP="0006145B">
      <w:pPr>
        <w:keepNext/>
        <w:keepLines/>
        <w:spacing w:before="100" w:after="100"/>
        <w:ind w:firstLine="0"/>
        <w:jc w:val="center"/>
        <w:outlineLvl w:val="1"/>
        <w:rPr>
          <w:rFonts w:ascii="Times New Roman" w:hAnsi="Times New Roman"/>
          <w:b/>
          <w:bCs/>
          <w:caps/>
          <w:sz w:val="20"/>
          <w:szCs w:val="26"/>
          <w:lang w:eastAsia="en-US"/>
        </w:rPr>
      </w:pP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определение </w:t>
      </w:r>
      <w:r w:rsidR="00A72E89"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параметров режима </w:t>
      </w:r>
      <w:r>
        <w:rPr>
          <w:rFonts w:ascii="Times New Roman" w:hAnsi="Times New Roman"/>
          <w:b/>
          <w:bCs/>
          <w:caps/>
          <w:sz w:val="20"/>
          <w:szCs w:val="26"/>
          <w:lang w:eastAsia="en-US"/>
        </w:rPr>
        <w:t xml:space="preserve">однофазного замыкания </w:t>
      </w:r>
      <w:r w:rsidR="00A72E89">
        <w:rPr>
          <w:rFonts w:ascii="Times New Roman" w:hAnsi="Times New Roman"/>
          <w:b/>
          <w:bCs/>
          <w:caps/>
          <w:sz w:val="20"/>
          <w:szCs w:val="26"/>
          <w:lang w:eastAsia="en-US"/>
        </w:rPr>
        <w:t>на основе умных измерителей</w:t>
      </w:r>
    </w:p>
    <w:p w:rsidR="00042C56" w:rsidRPr="000F253F" w:rsidRDefault="00B47B06" w:rsidP="0006145B">
      <w:pPr>
        <w:keepNext/>
        <w:keepLines/>
        <w:spacing w:after="100"/>
        <w:ind w:firstLine="0"/>
        <w:jc w:val="center"/>
        <w:outlineLvl w:val="1"/>
        <w:rPr>
          <w:rFonts w:ascii="Times New Roman" w:hAnsi="Times New Roman"/>
          <w:bCs/>
          <w:caps/>
          <w:sz w:val="18"/>
          <w:szCs w:val="26"/>
          <w:lang w:val="en-US" w:eastAsia="en-US"/>
        </w:rPr>
      </w:pPr>
      <w:r w:rsidRPr="000F253F">
        <w:rPr>
          <w:rStyle w:val="tlid-translation"/>
          <w:rFonts w:ascii="Times New Roman" w:hAnsi="Times New Roman"/>
          <w:sz w:val="18"/>
          <w:szCs w:val="18"/>
          <w:lang w:val="en-US"/>
        </w:rPr>
        <w:t xml:space="preserve">DETERMINATION OF THE SINGLE-PHASE GROUND MODE PARAMETERS BASED ON </w:t>
      </w:r>
      <w:r w:rsidR="000F199A" w:rsidRPr="000F253F">
        <w:rPr>
          <w:rStyle w:val="tlid-translation"/>
          <w:rFonts w:ascii="Times New Roman" w:hAnsi="Times New Roman"/>
          <w:sz w:val="18"/>
          <w:szCs w:val="18"/>
          <w:lang w:val="en-US"/>
        </w:rPr>
        <w:t>SMART</w:t>
      </w:r>
      <w:r w:rsidRPr="000F253F">
        <w:rPr>
          <w:rStyle w:val="tlid-translation"/>
          <w:rFonts w:ascii="Times New Roman" w:hAnsi="Times New Roman"/>
          <w:sz w:val="18"/>
          <w:szCs w:val="18"/>
          <w:lang w:val="en-US"/>
        </w:rPr>
        <w:t xml:space="preserve"> METERS</w:t>
      </w:r>
    </w:p>
    <w:p w:rsidR="00FD1ECC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>Приведен</w:t>
      </w:r>
      <w:r w:rsidR="00FD1ECC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а </w:t>
      </w:r>
      <w:r w:rsidR="00BE723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возможность </w:t>
      </w:r>
      <w:r w:rsidR="00FD1ECC">
        <w:rPr>
          <w:rFonts w:ascii="Times New Roman" w:eastAsia="Calibri" w:hAnsi="Times New Roman"/>
          <w:i/>
          <w:sz w:val="20"/>
          <w:szCs w:val="22"/>
          <w:lang w:eastAsia="en-US"/>
        </w:rPr>
        <w:t>практическ</w:t>
      </w:r>
      <w:r w:rsidR="00BE7236">
        <w:rPr>
          <w:rFonts w:ascii="Times New Roman" w:eastAsia="Calibri" w:hAnsi="Times New Roman"/>
          <w:i/>
          <w:sz w:val="20"/>
          <w:szCs w:val="22"/>
          <w:lang w:eastAsia="en-US"/>
        </w:rPr>
        <w:t>ой</w:t>
      </w:r>
      <w:r w:rsidR="00FD1ECC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реализаци</w:t>
      </w:r>
      <w:r w:rsidR="00BE723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и применения умных измерителей типа </w:t>
      </w:r>
      <w:r w:rsidR="00BE7236">
        <w:rPr>
          <w:rFonts w:ascii="Times New Roman" w:eastAsia="Calibri" w:hAnsi="Times New Roman"/>
          <w:i/>
          <w:sz w:val="20"/>
          <w:szCs w:val="22"/>
          <w:lang w:val="en-US" w:eastAsia="en-US"/>
        </w:rPr>
        <w:t>ESM</w:t>
      </w:r>
      <w:r w:rsidR="00BE7236" w:rsidRPr="00BE723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  <w:r w:rsidR="00BE7236">
        <w:rPr>
          <w:rFonts w:ascii="Times New Roman" w:eastAsia="Calibri" w:hAnsi="Times New Roman"/>
          <w:i/>
          <w:sz w:val="20"/>
          <w:szCs w:val="22"/>
          <w:lang w:eastAsia="en-US"/>
        </w:rPr>
        <w:t>для анализа спектрального состава токов и напряжений. Сопоставление пофидерных значений амплитуд высших гармоник позволяет в</w:t>
      </w:r>
      <w:r w:rsidR="000F253F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ыявлять режим ОЗЗ на начальной </w:t>
      </w:r>
      <w:r w:rsidR="00BE7236">
        <w:rPr>
          <w:rFonts w:ascii="Times New Roman" w:eastAsia="Calibri" w:hAnsi="Times New Roman"/>
          <w:i/>
          <w:sz w:val="20"/>
          <w:szCs w:val="22"/>
          <w:lang w:eastAsia="en-US"/>
        </w:rPr>
        <w:t>стадии.</w:t>
      </w:r>
      <w:r w:rsidR="00FD1ECC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 </w:t>
      </w:r>
    </w:p>
    <w:p w:rsidR="00D10D95" w:rsidRPr="0044076F" w:rsidRDefault="00D10D95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>The possibility of practical implementation of smart meters of the ESM type for analyzing the spectral composition of currents and voltages is shown.</w:t>
      </w:r>
    </w:p>
    <w:p w:rsidR="00640D16" w:rsidRPr="00640D16" w:rsidRDefault="00D10D95" w:rsidP="00640D16">
      <w:pPr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The feeder comparison of the amplitudes of higher harmonics allows to identify the 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mode</w:t>
      </w:r>
      <w:r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of </w:t>
      </w:r>
      <w:r>
        <w:rPr>
          <w:rFonts w:ascii="Times New Roman" w:eastAsia="Calibri" w:hAnsi="Times New Roman"/>
          <w:i/>
          <w:sz w:val="20"/>
          <w:szCs w:val="22"/>
          <w:lang w:val="en-US" w:eastAsia="en-US"/>
        </w:rPr>
        <w:t>SPGF</w:t>
      </w:r>
      <w:r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at the initial stage</w:t>
      </w:r>
      <w:r w:rsidR="00640D16"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640D16" w:rsidRPr="00640D16" w:rsidRDefault="00640D16" w:rsidP="00640D16">
      <w:pPr>
        <w:rPr>
          <w:rFonts w:ascii="Times New Roman" w:eastAsia="Calibri" w:hAnsi="Times New Roman"/>
          <w:i/>
          <w:sz w:val="20"/>
          <w:szCs w:val="22"/>
          <w:lang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eastAsia="en-US"/>
        </w:rPr>
        <w:t xml:space="preserve">Ключевые слова: </w:t>
      </w:r>
      <w:r w:rsidR="00D10D95">
        <w:rPr>
          <w:rFonts w:ascii="Times New Roman" w:eastAsia="Calibri" w:hAnsi="Times New Roman"/>
          <w:i/>
          <w:sz w:val="20"/>
          <w:szCs w:val="22"/>
          <w:lang w:eastAsia="en-US"/>
        </w:rPr>
        <w:t>умный измеритель однофазное замыкание на землю, высшие гармоники тока и напряжения</w:t>
      </w:r>
      <w:r w:rsidR="00042C56">
        <w:rPr>
          <w:rFonts w:ascii="Times New Roman" w:eastAsia="Calibri" w:hAnsi="Times New Roman"/>
          <w:i/>
          <w:sz w:val="20"/>
          <w:szCs w:val="22"/>
          <w:lang w:eastAsia="en-US"/>
        </w:rPr>
        <w:t>.</w:t>
      </w:r>
    </w:p>
    <w:p w:rsidR="00640D16" w:rsidRPr="00042C56" w:rsidRDefault="00640D16" w:rsidP="00042C56">
      <w:pPr>
        <w:spacing w:after="200"/>
        <w:rPr>
          <w:rFonts w:ascii="Times New Roman" w:eastAsia="Calibri" w:hAnsi="Times New Roman"/>
          <w:i/>
          <w:sz w:val="20"/>
          <w:szCs w:val="22"/>
          <w:lang w:val="en-US" w:eastAsia="en-US"/>
        </w:rPr>
      </w:pPr>
      <w:r w:rsidRPr="00640D16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Keywords: </w:t>
      </w:r>
      <w:r w:rsidR="00D10D95"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smart meter, single-phase </w:t>
      </w:r>
      <w:r w:rsid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>ound</w:t>
      </w:r>
      <w:r w:rsidR="00D10D95" w:rsidRPr="00D10D95">
        <w:rPr>
          <w:rFonts w:ascii="Times New Roman" w:eastAsia="Calibri" w:hAnsi="Times New Roman"/>
          <w:i/>
          <w:sz w:val="20"/>
          <w:szCs w:val="22"/>
          <w:lang w:val="en-US" w:eastAsia="en-US"/>
        </w:rPr>
        <w:t xml:space="preserve"> fault, higher harmonics of current and voltage</w:t>
      </w:r>
      <w:r w:rsidR="00042C56" w:rsidRPr="00042C56">
        <w:rPr>
          <w:rFonts w:ascii="Times New Roman" w:eastAsia="Calibri" w:hAnsi="Times New Roman"/>
          <w:i/>
          <w:sz w:val="20"/>
          <w:szCs w:val="22"/>
          <w:lang w:val="en-US" w:eastAsia="en-US"/>
        </w:rPr>
        <w:t>.</w:t>
      </w:r>
    </w:p>
    <w:p w:rsidR="00E57D91" w:rsidRDefault="006911F3" w:rsidP="00945DCD">
      <w:pPr>
        <w:pStyle w:val="af0"/>
        <w:rPr>
          <w:szCs w:val="20"/>
        </w:rPr>
      </w:pPr>
      <w:r w:rsidRPr="006911F3">
        <w:rPr>
          <w:bCs/>
          <w:szCs w:val="20"/>
        </w:rPr>
        <w:t xml:space="preserve">Эффективное функционирование системы контроля </w:t>
      </w:r>
      <w:r w:rsidRPr="006911F3">
        <w:rPr>
          <w:szCs w:val="20"/>
        </w:rPr>
        <w:t xml:space="preserve">однофазных замыканий на землю (ОЗЗ) для воздушных линий 6 – 35 кВ является одним факторов, способствующих повышению надежности функционирования распределительных электрических сетей (РЭС). Одновременно, </w:t>
      </w:r>
      <w:r w:rsidRPr="006911F3">
        <w:rPr>
          <w:bCs/>
          <w:szCs w:val="20"/>
        </w:rPr>
        <w:t xml:space="preserve">функционирование системы контроля </w:t>
      </w:r>
      <w:r w:rsidRPr="006911F3">
        <w:rPr>
          <w:szCs w:val="20"/>
        </w:rPr>
        <w:t xml:space="preserve">ОЗЗ позволяет осуществлять дистанционный мониторинг однофазных повреждений без необходимости выезда </w:t>
      </w:r>
      <w:r>
        <w:rPr>
          <w:szCs w:val="20"/>
        </w:rPr>
        <w:t>оперативного персонала</w:t>
      </w:r>
      <w:r w:rsidRPr="006911F3">
        <w:rPr>
          <w:szCs w:val="20"/>
        </w:rPr>
        <w:t xml:space="preserve"> </w:t>
      </w:r>
      <w:r>
        <w:rPr>
          <w:szCs w:val="20"/>
        </w:rPr>
        <w:t>для визуального осмотра воздушных линий электропередачи с целью локализации участка с повреждением</w:t>
      </w:r>
      <w:r w:rsidRPr="006911F3">
        <w:rPr>
          <w:szCs w:val="20"/>
        </w:rPr>
        <w:t xml:space="preserve">, что позволит </w:t>
      </w:r>
      <w:r w:rsidR="00002BFE">
        <w:rPr>
          <w:szCs w:val="20"/>
        </w:rPr>
        <w:t>сохранять</w:t>
      </w:r>
      <w:r w:rsidRPr="006911F3">
        <w:rPr>
          <w:szCs w:val="20"/>
        </w:rPr>
        <w:t xml:space="preserve"> </w:t>
      </w:r>
      <w:r w:rsidR="00002BFE">
        <w:rPr>
          <w:szCs w:val="20"/>
        </w:rPr>
        <w:t xml:space="preserve">показатели </w:t>
      </w:r>
      <w:r w:rsidRPr="006911F3">
        <w:rPr>
          <w:szCs w:val="20"/>
        </w:rPr>
        <w:t>качество электроэнергии</w:t>
      </w:r>
      <w:r w:rsidR="00002BFE">
        <w:rPr>
          <w:szCs w:val="20"/>
        </w:rPr>
        <w:t xml:space="preserve"> вследствие возникающих перенапряжений на до аварийном уровне</w:t>
      </w:r>
      <w:r w:rsidRPr="006911F3">
        <w:rPr>
          <w:szCs w:val="20"/>
        </w:rPr>
        <w:t xml:space="preserve"> и</w:t>
      </w:r>
      <w:r w:rsidR="00002BFE">
        <w:rPr>
          <w:szCs w:val="20"/>
        </w:rPr>
        <w:t xml:space="preserve">, существенно не </w:t>
      </w:r>
      <w:r w:rsidRPr="006911F3">
        <w:rPr>
          <w:szCs w:val="20"/>
        </w:rPr>
        <w:t>сни</w:t>
      </w:r>
      <w:r w:rsidR="00002BFE">
        <w:rPr>
          <w:szCs w:val="20"/>
        </w:rPr>
        <w:t>жать</w:t>
      </w:r>
      <w:r w:rsidRPr="006911F3">
        <w:rPr>
          <w:szCs w:val="20"/>
        </w:rPr>
        <w:t xml:space="preserve"> </w:t>
      </w:r>
      <w:r w:rsidR="00002BFE" w:rsidRPr="006911F3">
        <w:rPr>
          <w:szCs w:val="20"/>
        </w:rPr>
        <w:t xml:space="preserve">ее </w:t>
      </w:r>
      <w:r w:rsidRPr="006911F3">
        <w:rPr>
          <w:szCs w:val="20"/>
        </w:rPr>
        <w:t>недоотпуск конечному потребителю.</w:t>
      </w:r>
      <w:r w:rsidR="00002BFE">
        <w:rPr>
          <w:szCs w:val="20"/>
        </w:rPr>
        <w:t xml:space="preserve"> </w:t>
      </w:r>
    </w:p>
    <w:p w:rsidR="00640D16" w:rsidRPr="00045FC2" w:rsidRDefault="00E57D91" w:rsidP="00945DCD">
      <w:pPr>
        <w:pStyle w:val="af0"/>
        <w:rPr>
          <w:szCs w:val="20"/>
        </w:rPr>
      </w:pPr>
      <w:r>
        <w:rPr>
          <w:szCs w:val="20"/>
        </w:rPr>
        <w:t xml:space="preserve">Существуют несколько различных подходов и технических решений к проблеме ОЗЗ. Среди классических </w:t>
      </w:r>
      <w:r w:rsidR="000A3C81">
        <w:rPr>
          <w:szCs w:val="20"/>
        </w:rPr>
        <w:t>общепризнанных направлений</w:t>
      </w:r>
      <w:r>
        <w:rPr>
          <w:szCs w:val="20"/>
        </w:rPr>
        <w:t xml:space="preserve"> выделяются такие как </w:t>
      </w:r>
      <w:r w:rsidRPr="000A3C81">
        <w:rPr>
          <w:szCs w:val="20"/>
        </w:rPr>
        <w:t>[</w:t>
      </w:r>
      <w:r w:rsidR="000A3C81" w:rsidRPr="000A3C81">
        <w:rPr>
          <w:szCs w:val="20"/>
        </w:rPr>
        <w:t>1, 2</w:t>
      </w:r>
      <w:r w:rsidR="000A3C81">
        <w:rPr>
          <w:szCs w:val="20"/>
        </w:rPr>
        <w:t>, 3</w:t>
      </w:r>
      <w:r w:rsidRPr="000A3C81">
        <w:rPr>
          <w:szCs w:val="20"/>
        </w:rPr>
        <w:t>]</w:t>
      </w:r>
      <w:r w:rsidR="000A3C81" w:rsidRPr="000A3C81">
        <w:rPr>
          <w:szCs w:val="20"/>
        </w:rPr>
        <w:t xml:space="preserve"> </w:t>
      </w:r>
      <w:r w:rsidR="000A3C81">
        <w:rPr>
          <w:szCs w:val="20"/>
        </w:rPr>
        <w:t xml:space="preserve">и др. В качестве примера зарубежных исследований возможно выделить такие работы как, например, </w:t>
      </w:r>
      <w:r w:rsidR="000A3C81" w:rsidRPr="000A3C81">
        <w:rPr>
          <w:szCs w:val="20"/>
        </w:rPr>
        <w:t>[</w:t>
      </w:r>
      <w:r w:rsidR="000A3C81">
        <w:rPr>
          <w:szCs w:val="20"/>
        </w:rPr>
        <w:t>4</w:t>
      </w:r>
      <w:r w:rsidR="000A3C81" w:rsidRPr="000A3C81">
        <w:rPr>
          <w:szCs w:val="20"/>
        </w:rPr>
        <w:t>]</w:t>
      </w:r>
      <w:r w:rsidR="000A3C81">
        <w:rPr>
          <w:szCs w:val="20"/>
        </w:rPr>
        <w:t>. Перспективными направлениями исследований п</w:t>
      </w:r>
      <w:bookmarkStart w:id="0" w:name="_GoBack"/>
      <w:bookmarkEnd w:id="0"/>
      <w:r w:rsidR="000A3C81">
        <w:rPr>
          <w:szCs w:val="20"/>
        </w:rPr>
        <w:t xml:space="preserve">о </w:t>
      </w:r>
      <w:r w:rsidR="006246E9">
        <w:rPr>
          <w:szCs w:val="20"/>
        </w:rPr>
        <w:t xml:space="preserve">выше обозначенной проблеме являются работы </w:t>
      </w:r>
      <w:r w:rsidR="006246E9" w:rsidRPr="00B71D0C">
        <w:rPr>
          <w:szCs w:val="20"/>
        </w:rPr>
        <w:t>[</w:t>
      </w:r>
      <w:r w:rsidR="006246E9">
        <w:rPr>
          <w:szCs w:val="20"/>
        </w:rPr>
        <w:t>5, 6</w:t>
      </w:r>
      <w:r w:rsidR="006246E9" w:rsidRPr="00B71D0C">
        <w:rPr>
          <w:szCs w:val="20"/>
        </w:rPr>
        <w:t xml:space="preserve">]. </w:t>
      </w:r>
      <w:r w:rsidR="00B71D0C">
        <w:rPr>
          <w:szCs w:val="20"/>
        </w:rPr>
        <w:t xml:space="preserve">В качестве альтернативного метода диагностики ОЗЗ возможно использование проявления высших гармоник </w:t>
      </w:r>
      <w:r w:rsidR="00B71D0C">
        <w:rPr>
          <w:szCs w:val="20"/>
        </w:rPr>
        <w:lastRenderedPageBreak/>
        <w:t xml:space="preserve">(ВГ) тока и напряжения </w:t>
      </w:r>
      <w:r w:rsidR="00B71D0C" w:rsidRPr="00B71D0C">
        <w:rPr>
          <w:szCs w:val="20"/>
        </w:rPr>
        <w:t>[</w:t>
      </w:r>
      <w:r w:rsidR="00B71D0C">
        <w:rPr>
          <w:szCs w:val="20"/>
        </w:rPr>
        <w:t>7</w:t>
      </w:r>
      <w:r w:rsidR="00B71D0C" w:rsidRPr="00B71D0C">
        <w:rPr>
          <w:szCs w:val="20"/>
        </w:rPr>
        <w:t>]</w:t>
      </w:r>
      <w:r w:rsidR="00B71D0C">
        <w:rPr>
          <w:szCs w:val="20"/>
        </w:rPr>
        <w:t>.</w:t>
      </w:r>
      <w:r w:rsidR="00045FC2" w:rsidRPr="00045FC2">
        <w:rPr>
          <w:szCs w:val="20"/>
        </w:rPr>
        <w:t xml:space="preserve"> </w:t>
      </w:r>
      <w:r w:rsidR="00045FC2">
        <w:rPr>
          <w:szCs w:val="20"/>
        </w:rPr>
        <w:t xml:space="preserve">Основные теоретические положения представлены в </w:t>
      </w:r>
      <w:r w:rsidR="00045FC2" w:rsidRPr="00045FC2">
        <w:rPr>
          <w:szCs w:val="20"/>
        </w:rPr>
        <w:t>[</w:t>
      </w:r>
      <w:r w:rsidR="00045FC2">
        <w:rPr>
          <w:szCs w:val="20"/>
        </w:rPr>
        <w:t>8</w:t>
      </w:r>
      <w:r w:rsidR="00045FC2" w:rsidRPr="00045FC2">
        <w:rPr>
          <w:szCs w:val="20"/>
        </w:rPr>
        <w:t>]</w:t>
      </w:r>
      <w:r w:rsidR="00045FC2">
        <w:rPr>
          <w:szCs w:val="20"/>
        </w:rPr>
        <w:t>.</w:t>
      </w:r>
    </w:p>
    <w:p w:rsidR="000F199A" w:rsidRPr="00574897" w:rsidRDefault="00045FC2" w:rsidP="00945DCD">
      <w:pPr>
        <w:pStyle w:val="af0"/>
        <w:rPr>
          <w:szCs w:val="20"/>
        </w:rPr>
      </w:pPr>
      <w:r>
        <w:rPr>
          <w:szCs w:val="20"/>
        </w:rPr>
        <w:t>Практическая реализация теоретических положений</w:t>
      </w:r>
      <w:r w:rsidR="00574897" w:rsidRPr="00574897">
        <w:rPr>
          <w:szCs w:val="20"/>
        </w:rPr>
        <w:t xml:space="preserve"> </w:t>
      </w:r>
      <w:r w:rsidR="00574897">
        <w:rPr>
          <w:szCs w:val="20"/>
        </w:rPr>
        <w:t>контроля режимов ОЗЗ</w:t>
      </w:r>
      <w:r>
        <w:rPr>
          <w:szCs w:val="20"/>
        </w:rPr>
        <w:t xml:space="preserve"> была </w:t>
      </w:r>
      <w:r w:rsidR="00574897">
        <w:rPr>
          <w:szCs w:val="20"/>
        </w:rPr>
        <w:t xml:space="preserve">осуществлена на основе умных измерителей </w:t>
      </w:r>
      <w:r w:rsidR="001D5160">
        <w:t xml:space="preserve">типа </w:t>
      </w:r>
      <w:r w:rsidR="001D5160">
        <w:rPr>
          <w:lang w:val="en-US"/>
        </w:rPr>
        <w:t>ESM</w:t>
      </w:r>
      <w:r w:rsidR="001D5160" w:rsidRPr="00DF7E19">
        <w:t xml:space="preserve"> </w:t>
      </w:r>
      <w:r w:rsidR="001D5160">
        <w:t>для первичного спектрального анализа пофазных значений токов и напряжений.</w:t>
      </w:r>
      <w:r>
        <w:rPr>
          <w:szCs w:val="20"/>
        </w:rPr>
        <w:t xml:space="preserve"> </w:t>
      </w:r>
      <w:r w:rsidR="001D5160">
        <w:rPr>
          <w:szCs w:val="20"/>
        </w:rPr>
        <w:t>Математическим аппаратом для</w:t>
      </w:r>
      <w:r w:rsidR="001D5160">
        <w:t xml:space="preserve"> осуществления спектрального анализа является Быстрое Преобразование Фурье (БПФ). Математический метод БПФ-обработки измерений результатов на каждом отходящем фидере </w:t>
      </w:r>
      <w:r w:rsidR="00FD1ECC">
        <w:t>с попериодной синхронизацией измерений позволяет</w:t>
      </w:r>
      <w:r w:rsidR="001D5160">
        <w:t xml:space="preserve"> с требуемой точностью выделять ВГ из текущего спектра напряжений и токов</w:t>
      </w:r>
      <w:r w:rsidR="00FD1ECC">
        <w:t xml:space="preserve"> и производить их сопоставление</w:t>
      </w:r>
      <w:r w:rsidR="001D5160">
        <w:t>.</w:t>
      </w:r>
      <w:r w:rsidR="00FD1ECC">
        <w:t xml:space="preserve"> Рисунок 1 иллюстрирует в качестве примера шкаф с установленными умными измерителями для монтажа на отходящем фидере.</w:t>
      </w:r>
    </w:p>
    <w:p w:rsidR="000F199A" w:rsidRDefault="000F199A" w:rsidP="00945DCD">
      <w:pPr>
        <w:pStyle w:val="af0"/>
      </w:pPr>
    </w:p>
    <w:p w:rsidR="00FD1ECC" w:rsidRPr="00FD1ECC" w:rsidRDefault="00FD1ECC" w:rsidP="00FD1ECC">
      <w:pPr>
        <w:spacing w:line="360" w:lineRule="auto"/>
        <w:jc w:val="center"/>
        <w:rPr>
          <w:sz w:val="20"/>
        </w:rPr>
      </w:pPr>
      <w:r w:rsidRPr="00FD1ECC">
        <w:rPr>
          <w:noProof/>
          <w:sz w:val="20"/>
        </w:rPr>
        <w:drawing>
          <wp:inline distT="0" distB="0" distL="0" distR="0">
            <wp:extent cx="2660539" cy="3548494"/>
            <wp:effectExtent l="19050" t="0" r="6461" b="0"/>
            <wp:docPr id="23" name="Рисунок 63" descr="D:\Инжиниринговый центр\Высокая гора 2019\Отчет седьмой\шкафы\photo_2020-09-18_16-26-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D:\Инжиниринговый центр\Высокая гора 2019\Отчет седьмой\шкафы\photo_2020-09-18_16-26-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732" cy="3547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ECC" w:rsidRPr="000F253F" w:rsidRDefault="000F253F" w:rsidP="00FD1ECC">
      <w:pPr>
        <w:pStyle w:val="af3"/>
        <w:jc w:val="center"/>
        <w:rPr>
          <w:color w:val="auto"/>
          <w:szCs w:val="20"/>
        </w:rPr>
      </w:pPr>
      <w:r>
        <w:rPr>
          <w:color w:val="auto"/>
          <w:szCs w:val="20"/>
        </w:rPr>
        <w:t>Рис.</w:t>
      </w:r>
      <w:r w:rsidR="00FD1ECC" w:rsidRPr="000F253F">
        <w:rPr>
          <w:color w:val="auto"/>
          <w:szCs w:val="20"/>
        </w:rPr>
        <w:t xml:space="preserve"> </w:t>
      </w:r>
      <w:r w:rsidR="00FD1ECC" w:rsidRPr="000F253F">
        <w:rPr>
          <w:color w:val="auto"/>
          <w:szCs w:val="20"/>
        </w:rPr>
        <w:fldChar w:fldCharType="begin"/>
      </w:r>
      <w:r w:rsidR="00FD1ECC" w:rsidRPr="000F253F">
        <w:rPr>
          <w:color w:val="auto"/>
          <w:szCs w:val="20"/>
        </w:rPr>
        <w:instrText xml:space="preserve"> SEQ Рисунок \* ARABIC </w:instrText>
      </w:r>
      <w:r w:rsidR="00FD1ECC" w:rsidRPr="000F253F">
        <w:rPr>
          <w:color w:val="auto"/>
          <w:szCs w:val="20"/>
        </w:rPr>
        <w:fldChar w:fldCharType="separate"/>
      </w:r>
      <w:r w:rsidR="00FD1ECC" w:rsidRPr="000F253F">
        <w:rPr>
          <w:noProof/>
          <w:color w:val="auto"/>
          <w:szCs w:val="20"/>
        </w:rPr>
        <w:t>1</w:t>
      </w:r>
      <w:r w:rsidR="00FD1ECC" w:rsidRPr="000F253F">
        <w:rPr>
          <w:color w:val="auto"/>
          <w:szCs w:val="20"/>
        </w:rPr>
        <w:fldChar w:fldCharType="end"/>
      </w:r>
      <w:r>
        <w:rPr>
          <w:color w:val="auto"/>
          <w:szCs w:val="20"/>
        </w:rPr>
        <w:t>.</w:t>
      </w:r>
      <w:r w:rsidR="00FD1ECC" w:rsidRPr="000F253F">
        <w:rPr>
          <w:color w:val="auto"/>
          <w:szCs w:val="20"/>
        </w:rPr>
        <w:t xml:space="preserve"> Визуализация шкафа с установленными умными измерителями</w:t>
      </w:r>
    </w:p>
    <w:p w:rsidR="00B71D0C" w:rsidRPr="00FD1ECC" w:rsidRDefault="00B71D0C" w:rsidP="00945DCD">
      <w:pPr>
        <w:pStyle w:val="af0"/>
        <w:rPr>
          <w:szCs w:val="20"/>
        </w:rPr>
      </w:pPr>
    </w:p>
    <w:p w:rsidR="00B71D0C" w:rsidRPr="00FD1ECC" w:rsidRDefault="00FD1ECC" w:rsidP="00945DCD">
      <w:pPr>
        <w:pStyle w:val="af0"/>
        <w:rPr>
          <w:szCs w:val="20"/>
        </w:rPr>
      </w:pPr>
      <w:r>
        <w:rPr>
          <w:szCs w:val="20"/>
        </w:rPr>
        <w:t>Пофидерно установленные шкафы позволяют осуществлять раннюю диагностику ОЗЗ на первичных этапах их появления.</w:t>
      </w:r>
    </w:p>
    <w:p w:rsidR="00640D16" w:rsidRPr="00D7211F" w:rsidRDefault="00640D16" w:rsidP="00D7211F">
      <w:pPr>
        <w:keepNext/>
        <w:keepLines/>
        <w:spacing w:before="200" w:after="100"/>
        <w:ind w:firstLine="0"/>
        <w:jc w:val="center"/>
        <w:outlineLvl w:val="2"/>
        <w:rPr>
          <w:rFonts w:ascii="Times New Roman" w:hAnsi="Times New Roman"/>
          <w:b/>
          <w:bCs/>
          <w:sz w:val="18"/>
          <w:szCs w:val="18"/>
          <w:lang w:eastAsia="en-US"/>
        </w:rPr>
      </w:pPr>
      <w:r w:rsidRPr="00D7211F">
        <w:rPr>
          <w:rFonts w:ascii="Times New Roman" w:hAnsi="Times New Roman"/>
          <w:b/>
          <w:bCs/>
          <w:sz w:val="18"/>
          <w:szCs w:val="18"/>
          <w:lang w:eastAsia="en-US"/>
        </w:rPr>
        <w:lastRenderedPageBreak/>
        <w:t>Список литературы</w:t>
      </w:r>
    </w:p>
    <w:p w:rsidR="000A3C81" w:rsidRPr="000A3C81" w:rsidRDefault="000A3C81" w:rsidP="00D7211F">
      <w:pPr>
        <w:pStyle w:val="af2"/>
        <w:numPr>
          <w:ilvl w:val="0"/>
          <w:numId w:val="10"/>
        </w:numPr>
        <w:tabs>
          <w:tab w:val="left" w:pos="709"/>
        </w:tabs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0A3C81">
        <w:rPr>
          <w:rFonts w:ascii="Times New Roman" w:hAnsi="Times New Roman"/>
          <w:i/>
          <w:sz w:val="18"/>
          <w:szCs w:val="18"/>
        </w:rPr>
        <w:t>Шуин, В.А.</w:t>
      </w:r>
      <w:r w:rsidRPr="000A3C81">
        <w:rPr>
          <w:rFonts w:ascii="Times New Roman" w:hAnsi="Times New Roman"/>
          <w:sz w:val="18"/>
          <w:szCs w:val="18"/>
        </w:rPr>
        <w:t xml:space="preserve"> Защиты от замыканий на землю в сетях 6-10 кВ [Текст] / В.А. Шуин, А.В. Гусенков. – М.: НТФ «Энергопрогресс», 2001. – 104 с.</w:t>
      </w:r>
    </w:p>
    <w:p w:rsidR="000A3C81" w:rsidRPr="000A3C81" w:rsidRDefault="000A3C81" w:rsidP="00A84984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0A3C81">
        <w:rPr>
          <w:rFonts w:ascii="Times New Roman" w:hAnsi="Times New Roman"/>
          <w:i/>
          <w:sz w:val="18"/>
          <w:szCs w:val="18"/>
        </w:rPr>
        <w:t>Шалин А.И.</w:t>
      </w:r>
      <w:r w:rsidRPr="000A3C81">
        <w:rPr>
          <w:rFonts w:ascii="Times New Roman" w:hAnsi="Times New Roman"/>
          <w:sz w:val="18"/>
          <w:szCs w:val="18"/>
        </w:rPr>
        <w:t xml:space="preserve"> и др. Резистивное заземление нейтрали в сетях 6-35 кВ с СПЭ-кабелями. Подходы к выбору резисторов и принципам построения защиты от ОЗЗ [Текст] / А. Шалин // Новости электротехники. – 2008. – №2. Режим доступа: http://www.news.elteh.ru/arh/2005/33/13.php (дата обращения: 12.01.17).</w:t>
      </w:r>
    </w:p>
    <w:p w:rsidR="000A3C81" w:rsidRPr="000A3C81" w:rsidRDefault="000A3C81" w:rsidP="00A84984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0A3C81">
        <w:rPr>
          <w:rFonts w:ascii="Times New Roman" w:hAnsi="Times New Roman"/>
          <w:i/>
          <w:sz w:val="18"/>
          <w:szCs w:val="18"/>
        </w:rPr>
        <w:t>Шабад, М.А.</w:t>
      </w:r>
      <w:r w:rsidRPr="000A3C81">
        <w:rPr>
          <w:rFonts w:ascii="Times New Roman" w:hAnsi="Times New Roman"/>
          <w:sz w:val="18"/>
          <w:szCs w:val="18"/>
        </w:rPr>
        <w:t xml:space="preserve"> Расчеты релейной защиты и автоматики распределительных сетей [Текст] / М.А. Шабад. – 4-е изд., перераб. и доп. – СПб.: ПЭИПК, 2003. – 350 с.</w:t>
      </w:r>
    </w:p>
    <w:p w:rsidR="000A3C81" w:rsidRPr="000A3C81" w:rsidRDefault="000A3C81" w:rsidP="00A84984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0A3C81">
        <w:rPr>
          <w:rFonts w:ascii="Times New Roman" w:hAnsi="Times New Roman"/>
          <w:sz w:val="18"/>
          <w:szCs w:val="18"/>
          <w:lang w:val="en-US"/>
        </w:rPr>
        <w:t>Fischer, N. Methods for detecting ground faults in medium-voltage distribution power systems / N. Fischer, D. Hou. – Pullman, WA USA, 2006. – P.15.</w:t>
      </w:r>
    </w:p>
    <w:p w:rsidR="00640D16" w:rsidRPr="000A3C81" w:rsidRDefault="00A84984" w:rsidP="00A84984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A84984">
        <w:rPr>
          <w:rFonts w:ascii="Times New Roman" w:hAnsi="Times New Roman"/>
          <w:i/>
          <w:iCs/>
          <w:sz w:val="18"/>
          <w:szCs w:val="18"/>
        </w:rPr>
        <w:t>Сидоров С.В., Сушков В.В., Сухачев И.С.</w:t>
      </w:r>
      <w:r w:rsidRPr="00A84984">
        <w:rPr>
          <w:rFonts w:ascii="Times New Roman" w:hAnsi="Times New Roman"/>
          <w:iCs/>
          <w:sz w:val="18"/>
          <w:szCs w:val="18"/>
        </w:rPr>
        <w:t xml:space="preserve"> / </w:t>
      </w:r>
      <w:r w:rsidRPr="00A84984">
        <w:rPr>
          <w:rFonts w:ascii="Times New Roman" w:hAnsi="Times New Roman"/>
          <w:bCs/>
          <w:sz w:val="18"/>
          <w:szCs w:val="18"/>
        </w:rPr>
        <w:t>Особенности моделирования определения мест повреждения воздушных линий электропередачи напряжением 6(10) кВ</w:t>
      </w:r>
      <w:r w:rsidRPr="00A84984">
        <w:rPr>
          <w:rFonts w:ascii="Times New Roman" w:hAnsi="Times New Roman"/>
          <w:sz w:val="18"/>
          <w:szCs w:val="18"/>
        </w:rPr>
        <w:t xml:space="preserve"> / Промышленная энергетика. 2020. № 3. С. 33-40.</w:t>
      </w:r>
    </w:p>
    <w:p w:rsidR="00A84984" w:rsidRPr="00B71D0C" w:rsidRDefault="00E57D91" w:rsidP="00E16F8B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val="en-US" w:eastAsia="en-US"/>
        </w:rPr>
      </w:pPr>
      <w:r w:rsidRPr="00E57D91">
        <w:rPr>
          <w:rFonts w:ascii="Times New Roman" w:hAnsi="Times New Roman"/>
          <w:iCs/>
          <w:sz w:val="18"/>
          <w:szCs w:val="18"/>
        </w:rPr>
        <w:t xml:space="preserve">Ершов А.М., Хлопова А.В., Сидоров А.И. / </w:t>
      </w:r>
      <w:r w:rsidRPr="00E57D91">
        <w:rPr>
          <w:rFonts w:ascii="Times New Roman" w:hAnsi="Times New Roman"/>
          <w:bCs/>
          <w:sz w:val="18"/>
          <w:szCs w:val="18"/>
        </w:rPr>
        <w:t xml:space="preserve">Система защиты воздушных линий напряжением 0,38 И 6 - 10 кВ от обрывов проводов / </w:t>
      </w:r>
      <w:r w:rsidRPr="00E57D91">
        <w:rPr>
          <w:rFonts w:ascii="Times New Roman" w:hAnsi="Times New Roman"/>
          <w:sz w:val="18"/>
          <w:szCs w:val="18"/>
        </w:rPr>
        <w:t>Электрические станции. 2020. № 4 (1065). С. 28-32.</w:t>
      </w:r>
    </w:p>
    <w:p w:rsidR="00B71D0C" w:rsidRPr="00045FC2" w:rsidRDefault="00B71D0C" w:rsidP="00E16F8B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B71D0C">
        <w:rPr>
          <w:rFonts w:ascii="Times New Roman" w:hAnsi="Times New Roman"/>
          <w:i/>
          <w:sz w:val="18"/>
          <w:szCs w:val="18"/>
        </w:rPr>
        <w:t>Латипов А.Г.</w:t>
      </w:r>
      <w:r w:rsidRPr="00B71D0C">
        <w:rPr>
          <w:rFonts w:ascii="Times New Roman" w:hAnsi="Times New Roman"/>
          <w:sz w:val="18"/>
          <w:szCs w:val="18"/>
        </w:rPr>
        <w:t xml:space="preserve"> Комплекс методик определения места повреждения в распределительных электрических сетях напряжением 6–35 кВ по параметрах установившихся и переходных режимов: дис. … канд. техн. наук [Текст] / А.Г. Латипов. – Казань: КГЭУ, 2012</w:t>
      </w:r>
      <w:r>
        <w:rPr>
          <w:rFonts w:ascii="Times New Roman" w:hAnsi="Times New Roman"/>
          <w:sz w:val="18"/>
          <w:szCs w:val="18"/>
        </w:rPr>
        <w:t>.</w:t>
      </w:r>
    </w:p>
    <w:p w:rsidR="00045FC2" w:rsidRPr="00B71D0C" w:rsidRDefault="00045FC2" w:rsidP="00E16F8B">
      <w:pPr>
        <w:pStyle w:val="af2"/>
        <w:numPr>
          <w:ilvl w:val="0"/>
          <w:numId w:val="10"/>
        </w:numPr>
        <w:ind w:left="0" w:firstLine="397"/>
        <w:rPr>
          <w:rFonts w:ascii="Times New Roman" w:eastAsia="Calibri" w:hAnsi="Times New Roman"/>
          <w:sz w:val="18"/>
          <w:szCs w:val="18"/>
          <w:lang w:eastAsia="en-US"/>
        </w:rPr>
      </w:pPr>
      <w:r w:rsidRPr="000F253F">
        <w:rPr>
          <w:rFonts w:ascii="Times New Roman" w:hAnsi="Times New Roman"/>
          <w:i/>
          <w:iCs/>
          <w:sz w:val="18"/>
          <w:szCs w:val="18"/>
        </w:rPr>
        <w:t>Федотов А.И. и др.</w:t>
      </w:r>
      <w:r w:rsidRPr="00045FC2">
        <w:rPr>
          <w:rFonts w:ascii="Times New Roman" w:hAnsi="Times New Roman"/>
          <w:iCs/>
          <w:sz w:val="18"/>
          <w:szCs w:val="18"/>
        </w:rPr>
        <w:t xml:space="preserve"> </w:t>
      </w:r>
      <w:r w:rsidRPr="00045FC2">
        <w:rPr>
          <w:rFonts w:ascii="Times New Roman" w:hAnsi="Times New Roman"/>
          <w:bCs/>
          <w:sz w:val="18"/>
          <w:szCs w:val="18"/>
        </w:rPr>
        <w:t xml:space="preserve">Нормирование амплитуды высших гармоник при определении фидера с однофазным замыканием на землю / </w:t>
      </w:r>
      <w:r w:rsidRPr="00045FC2">
        <w:rPr>
          <w:rFonts w:ascii="Times New Roman" w:hAnsi="Times New Roman"/>
          <w:iCs/>
          <w:sz w:val="18"/>
          <w:szCs w:val="18"/>
        </w:rPr>
        <w:t>Федотов А.И., Ахметвалеева Л.В., Басыров Р.Ш., Вагапов Г.В., Федотов Е.А.</w:t>
      </w:r>
      <w:r>
        <w:rPr>
          <w:rFonts w:ascii="Times New Roman" w:hAnsi="Times New Roman"/>
          <w:iCs/>
          <w:sz w:val="18"/>
          <w:szCs w:val="18"/>
        </w:rPr>
        <w:t xml:space="preserve"> / </w:t>
      </w:r>
      <w:r w:rsidRPr="00045FC2">
        <w:rPr>
          <w:rFonts w:ascii="Times New Roman" w:hAnsi="Times New Roman"/>
          <w:sz w:val="18"/>
          <w:szCs w:val="18"/>
        </w:rPr>
        <w:t>Известия высших учебных заведений. Проблемы энергетики. 2020. Т. 22. № 1. С. 58-68.</w:t>
      </w:r>
    </w:p>
    <w:p w:rsidR="00A84984" w:rsidRPr="00D7211F" w:rsidRDefault="00D7211F" w:rsidP="00D7211F">
      <w:pPr>
        <w:pStyle w:val="af2"/>
        <w:spacing w:before="100"/>
        <w:ind w:left="981" w:firstLine="0"/>
        <w:contextualSpacing w:val="0"/>
        <w:jc w:val="right"/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</w:pPr>
      <w:r w:rsidRPr="00D721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Материал</w:t>
      </w:r>
      <w:r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 xml:space="preserve"> поступил в редколлегию 08</w:t>
      </w:r>
      <w:r w:rsidRPr="00D7211F">
        <w:rPr>
          <w:rFonts w:ascii="Times New Roman" w:eastAsia="Calibri" w:hAnsi="Times New Roman"/>
          <w:i/>
          <w:color w:val="000000"/>
          <w:sz w:val="18"/>
          <w:szCs w:val="18"/>
          <w:lang w:eastAsia="en-US"/>
        </w:rPr>
        <w:t>.10.20.</w:t>
      </w:r>
    </w:p>
    <w:sectPr w:rsidR="00A84984" w:rsidRPr="00D7211F" w:rsidSect="00D02DDA">
      <w:pgSz w:w="8391" w:h="11907" w:code="11"/>
      <w:pgMar w:top="1134" w:right="1020" w:bottom="1134" w:left="851" w:header="1021" w:footer="1021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E94" w:rsidRDefault="00540E94">
      <w:r>
        <w:separator/>
      </w:r>
    </w:p>
  </w:endnote>
  <w:endnote w:type="continuationSeparator" w:id="0">
    <w:p w:rsidR="00540E94" w:rsidRDefault="00540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E94" w:rsidRDefault="00540E94">
      <w:r>
        <w:separator/>
      </w:r>
    </w:p>
  </w:footnote>
  <w:footnote w:type="continuationSeparator" w:id="0">
    <w:p w:rsidR="00540E94" w:rsidRDefault="00540E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23684"/>
    <w:multiLevelType w:val="hybridMultilevel"/>
    <w:tmpl w:val="6EBC9616"/>
    <w:lvl w:ilvl="0" w:tplc="7D7EE868">
      <w:start w:val="1"/>
      <w:numFmt w:val="decimal"/>
      <w:lvlText w:val="%1."/>
      <w:lvlJc w:val="left"/>
      <w:pPr>
        <w:ind w:left="982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044B661A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" w15:restartNumberingAfterBreak="0">
    <w:nsid w:val="1B176627"/>
    <w:multiLevelType w:val="singleLevel"/>
    <w:tmpl w:val="5374E9F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sz w:val="20"/>
      </w:rPr>
    </w:lvl>
  </w:abstractNum>
  <w:abstractNum w:abstractNumId="3" w15:restartNumberingAfterBreak="0">
    <w:nsid w:val="24701FE9"/>
    <w:multiLevelType w:val="multilevel"/>
    <w:tmpl w:val="C18C9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F57D8"/>
    <w:multiLevelType w:val="hybridMultilevel"/>
    <w:tmpl w:val="8B826CAE"/>
    <w:lvl w:ilvl="0" w:tplc="6C903E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szCs w:val="24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18"/>
        </w:tabs>
        <w:ind w:left="61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38"/>
        </w:tabs>
        <w:ind w:left="133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58"/>
        </w:tabs>
        <w:ind w:left="205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78"/>
        </w:tabs>
        <w:ind w:left="277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98"/>
        </w:tabs>
        <w:ind w:left="349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18"/>
        </w:tabs>
        <w:ind w:left="421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38"/>
        </w:tabs>
        <w:ind w:left="493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58"/>
        </w:tabs>
        <w:ind w:left="5658" w:hanging="180"/>
      </w:pPr>
    </w:lvl>
  </w:abstractNum>
  <w:abstractNum w:abstractNumId="5" w15:restartNumberingAfterBreak="0">
    <w:nsid w:val="67F57C06"/>
    <w:multiLevelType w:val="singleLevel"/>
    <w:tmpl w:val="9D30AE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6A6C109D"/>
    <w:multiLevelType w:val="singleLevel"/>
    <w:tmpl w:val="38BA9BC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ET" w:hAnsi="TimesET" w:hint="default"/>
        <w:b w:val="0"/>
        <w:i w:val="0"/>
        <w:sz w:val="20"/>
        <w:u w:val="none"/>
      </w:rPr>
    </w:lvl>
  </w:abstractNum>
  <w:abstractNum w:abstractNumId="7" w15:restartNumberingAfterBreak="0">
    <w:nsid w:val="6EEC151D"/>
    <w:multiLevelType w:val="hybridMultilevel"/>
    <w:tmpl w:val="56BCC682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b w:val="0"/>
          <w:i w:val="0"/>
          <w:sz w:val="20"/>
          <w:u w:val="none"/>
        </w:rPr>
      </w:lvl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2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ET" w:hAnsi="TimesET" w:hint="default"/>
          <w:sz w:val="20"/>
        </w:rPr>
      </w:lvl>
    </w:lvlOverride>
  </w:num>
  <w:num w:numId="7">
    <w:abstractNumId w:val="4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4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DE4"/>
    <w:rsid w:val="00002BFE"/>
    <w:rsid w:val="0000344F"/>
    <w:rsid w:val="00005351"/>
    <w:rsid w:val="00006099"/>
    <w:rsid w:val="00042C56"/>
    <w:rsid w:val="00045FC2"/>
    <w:rsid w:val="00056B83"/>
    <w:rsid w:val="000571E9"/>
    <w:rsid w:val="0006145B"/>
    <w:rsid w:val="000618AA"/>
    <w:rsid w:val="000737E8"/>
    <w:rsid w:val="00076B16"/>
    <w:rsid w:val="000773DE"/>
    <w:rsid w:val="0008198D"/>
    <w:rsid w:val="00081FBD"/>
    <w:rsid w:val="000839B2"/>
    <w:rsid w:val="00084D36"/>
    <w:rsid w:val="00091495"/>
    <w:rsid w:val="000A3C81"/>
    <w:rsid w:val="000A7917"/>
    <w:rsid w:val="000B5500"/>
    <w:rsid w:val="000D2CE0"/>
    <w:rsid w:val="000D5984"/>
    <w:rsid w:val="000D6195"/>
    <w:rsid w:val="000E01A0"/>
    <w:rsid w:val="000F199A"/>
    <w:rsid w:val="000F253F"/>
    <w:rsid w:val="000F25B0"/>
    <w:rsid w:val="000F6AA9"/>
    <w:rsid w:val="001027A4"/>
    <w:rsid w:val="00127CC3"/>
    <w:rsid w:val="00141D09"/>
    <w:rsid w:val="00144699"/>
    <w:rsid w:val="0016479D"/>
    <w:rsid w:val="0016712C"/>
    <w:rsid w:val="00171680"/>
    <w:rsid w:val="00186825"/>
    <w:rsid w:val="00194579"/>
    <w:rsid w:val="001A1BAC"/>
    <w:rsid w:val="001A28D1"/>
    <w:rsid w:val="001B2B6C"/>
    <w:rsid w:val="001B424C"/>
    <w:rsid w:val="001B6284"/>
    <w:rsid w:val="001D5160"/>
    <w:rsid w:val="001E0EAA"/>
    <w:rsid w:val="00210D9C"/>
    <w:rsid w:val="00227DD6"/>
    <w:rsid w:val="00270C9B"/>
    <w:rsid w:val="00276158"/>
    <w:rsid w:val="00285551"/>
    <w:rsid w:val="00297543"/>
    <w:rsid w:val="002A1DE4"/>
    <w:rsid w:val="002B3B92"/>
    <w:rsid w:val="002B5088"/>
    <w:rsid w:val="002E2168"/>
    <w:rsid w:val="00310D67"/>
    <w:rsid w:val="00322138"/>
    <w:rsid w:val="0033091F"/>
    <w:rsid w:val="00341414"/>
    <w:rsid w:val="00347D68"/>
    <w:rsid w:val="003575C1"/>
    <w:rsid w:val="00363B26"/>
    <w:rsid w:val="00392CA2"/>
    <w:rsid w:val="003A0304"/>
    <w:rsid w:val="003A6A4C"/>
    <w:rsid w:val="003C2011"/>
    <w:rsid w:val="003C479E"/>
    <w:rsid w:val="003C5570"/>
    <w:rsid w:val="003D3F45"/>
    <w:rsid w:val="003D5C41"/>
    <w:rsid w:val="003F1423"/>
    <w:rsid w:val="00403421"/>
    <w:rsid w:val="0040497D"/>
    <w:rsid w:val="00412171"/>
    <w:rsid w:val="004152CE"/>
    <w:rsid w:val="0043660B"/>
    <w:rsid w:val="0044076F"/>
    <w:rsid w:val="00442CDE"/>
    <w:rsid w:val="004543CF"/>
    <w:rsid w:val="004815F9"/>
    <w:rsid w:val="0048340C"/>
    <w:rsid w:val="00484616"/>
    <w:rsid w:val="004905A0"/>
    <w:rsid w:val="00491868"/>
    <w:rsid w:val="00496B6C"/>
    <w:rsid w:val="00497831"/>
    <w:rsid w:val="004A18EB"/>
    <w:rsid w:val="004A3C54"/>
    <w:rsid w:val="004A591B"/>
    <w:rsid w:val="004B5A26"/>
    <w:rsid w:val="004D4D8E"/>
    <w:rsid w:val="005059BD"/>
    <w:rsid w:val="005139F2"/>
    <w:rsid w:val="00524306"/>
    <w:rsid w:val="005250F9"/>
    <w:rsid w:val="0052556C"/>
    <w:rsid w:val="00540020"/>
    <w:rsid w:val="00540087"/>
    <w:rsid w:val="00540E94"/>
    <w:rsid w:val="00544956"/>
    <w:rsid w:val="00554B02"/>
    <w:rsid w:val="00560014"/>
    <w:rsid w:val="005650DD"/>
    <w:rsid w:val="00566536"/>
    <w:rsid w:val="00574530"/>
    <w:rsid w:val="00574897"/>
    <w:rsid w:val="0057735C"/>
    <w:rsid w:val="005805A0"/>
    <w:rsid w:val="00583A8F"/>
    <w:rsid w:val="00584332"/>
    <w:rsid w:val="005A01C1"/>
    <w:rsid w:val="005A4EEB"/>
    <w:rsid w:val="005A5F76"/>
    <w:rsid w:val="005B462F"/>
    <w:rsid w:val="005D2E14"/>
    <w:rsid w:val="005E44FD"/>
    <w:rsid w:val="005E5FEB"/>
    <w:rsid w:val="005F5F73"/>
    <w:rsid w:val="00602664"/>
    <w:rsid w:val="00606FC2"/>
    <w:rsid w:val="00607802"/>
    <w:rsid w:val="00610F57"/>
    <w:rsid w:val="00615168"/>
    <w:rsid w:val="00615D00"/>
    <w:rsid w:val="00621488"/>
    <w:rsid w:val="006246E9"/>
    <w:rsid w:val="00640D16"/>
    <w:rsid w:val="00656FF9"/>
    <w:rsid w:val="006911F3"/>
    <w:rsid w:val="006966EA"/>
    <w:rsid w:val="00697882"/>
    <w:rsid w:val="006B7D8B"/>
    <w:rsid w:val="006C30F5"/>
    <w:rsid w:val="006D2853"/>
    <w:rsid w:val="00713D1B"/>
    <w:rsid w:val="00721EB7"/>
    <w:rsid w:val="007246F5"/>
    <w:rsid w:val="00732A99"/>
    <w:rsid w:val="007405C6"/>
    <w:rsid w:val="0074368F"/>
    <w:rsid w:val="00755534"/>
    <w:rsid w:val="00766E26"/>
    <w:rsid w:val="0078697F"/>
    <w:rsid w:val="007D23CE"/>
    <w:rsid w:val="007D3FBC"/>
    <w:rsid w:val="007F0BDA"/>
    <w:rsid w:val="007F24D3"/>
    <w:rsid w:val="007F6BF0"/>
    <w:rsid w:val="00802AEB"/>
    <w:rsid w:val="0080498C"/>
    <w:rsid w:val="00823C30"/>
    <w:rsid w:val="008551EC"/>
    <w:rsid w:val="00856EAB"/>
    <w:rsid w:val="00861656"/>
    <w:rsid w:val="00876D45"/>
    <w:rsid w:val="00887BA5"/>
    <w:rsid w:val="008B50D6"/>
    <w:rsid w:val="008B624F"/>
    <w:rsid w:val="008E457F"/>
    <w:rsid w:val="00901BD7"/>
    <w:rsid w:val="0091055F"/>
    <w:rsid w:val="009259E8"/>
    <w:rsid w:val="00945DCD"/>
    <w:rsid w:val="00954089"/>
    <w:rsid w:val="009718A4"/>
    <w:rsid w:val="009753BA"/>
    <w:rsid w:val="009755B1"/>
    <w:rsid w:val="0099632C"/>
    <w:rsid w:val="009A0C07"/>
    <w:rsid w:val="009A5A24"/>
    <w:rsid w:val="009B466A"/>
    <w:rsid w:val="009D0D50"/>
    <w:rsid w:val="009D61E5"/>
    <w:rsid w:val="009D7EA6"/>
    <w:rsid w:val="009E30D1"/>
    <w:rsid w:val="009F02E7"/>
    <w:rsid w:val="009F571E"/>
    <w:rsid w:val="009F5DDC"/>
    <w:rsid w:val="009F7DFD"/>
    <w:rsid w:val="00A01821"/>
    <w:rsid w:val="00A17ACA"/>
    <w:rsid w:val="00A26583"/>
    <w:rsid w:val="00A31ABB"/>
    <w:rsid w:val="00A34952"/>
    <w:rsid w:val="00A63063"/>
    <w:rsid w:val="00A7056E"/>
    <w:rsid w:val="00A72E89"/>
    <w:rsid w:val="00A76666"/>
    <w:rsid w:val="00A84984"/>
    <w:rsid w:val="00A863F8"/>
    <w:rsid w:val="00A873FC"/>
    <w:rsid w:val="00A87411"/>
    <w:rsid w:val="00A9751A"/>
    <w:rsid w:val="00AA505E"/>
    <w:rsid w:val="00AA6CE4"/>
    <w:rsid w:val="00AB084B"/>
    <w:rsid w:val="00AB08F6"/>
    <w:rsid w:val="00AB0A9D"/>
    <w:rsid w:val="00AB2BA0"/>
    <w:rsid w:val="00AC3DDC"/>
    <w:rsid w:val="00AC69B4"/>
    <w:rsid w:val="00AC73BA"/>
    <w:rsid w:val="00AD2607"/>
    <w:rsid w:val="00AF2BD7"/>
    <w:rsid w:val="00AF37E5"/>
    <w:rsid w:val="00AF3A58"/>
    <w:rsid w:val="00B05FBF"/>
    <w:rsid w:val="00B21A82"/>
    <w:rsid w:val="00B247D7"/>
    <w:rsid w:val="00B25760"/>
    <w:rsid w:val="00B311D7"/>
    <w:rsid w:val="00B37688"/>
    <w:rsid w:val="00B4137C"/>
    <w:rsid w:val="00B47892"/>
    <w:rsid w:val="00B47B06"/>
    <w:rsid w:val="00B51D39"/>
    <w:rsid w:val="00B57770"/>
    <w:rsid w:val="00B71D0C"/>
    <w:rsid w:val="00B95B6B"/>
    <w:rsid w:val="00BA7A80"/>
    <w:rsid w:val="00BA7DFB"/>
    <w:rsid w:val="00BB153C"/>
    <w:rsid w:val="00BB2D08"/>
    <w:rsid w:val="00BB566E"/>
    <w:rsid w:val="00BC3AB3"/>
    <w:rsid w:val="00BE3029"/>
    <w:rsid w:val="00BE7236"/>
    <w:rsid w:val="00BF72EC"/>
    <w:rsid w:val="00C12BDF"/>
    <w:rsid w:val="00C21B97"/>
    <w:rsid w:val="00C21C0A"/>
    <w:rsid w:val="00C26397"/>
    <w:rsid w:val="00C475A5"/>
    <w:rsid w:val="00C65B82"/>
    <w:rsid w:val="00C71A4B"/>
    <w:rsid w:val="00C7609D"/>
    <w:rsid w:val="00C81A2F"/>
    <w:rsid w:val="00C83203"/>
    <w:rsid w:val="00C8557B"/>
    <w:rsid w:val="00C90ADE"/>
    <w:rsid w:val="00C9171A"/>
    <w:rsid w:val="00CA24D1"/>
    <w:rsid w:val="00CD191C"/>
    <w:rsid w:val="00CD6C0D"/>
    <w:rsid w:val="00CE3168"/>
    <w:rsid w:val="00D02DDA"/>
    <w:rsid w:val="00D10D95"/>
    <w:rsid w:val="00D3638D"/>
    <w:rsid w:val="00D506C2"/>
    <w:rsid w:val="00D52AA0"/>
    <w:rsid w:val="00D53F3B"/>
    <w:rsid w:val="00D63C79"/>
    <w:rsid w:val="00D668C8"/>
    <w:rsid w:val="00D7211F"/>
    <w:rsid w:val="00D72D58"/>
    <w:rsid w:val="00D9188F"/>
    <w:rsid w:val="00D94E3A"/>
    <w:rsid w:val="00DA4AF5"/>
    <w:rsid w:val="00DB243B"/>
    <w:rsid w:val="00DB46F6"/>
    <w:rsid w:val="00DD17A8"/>
    <w:rsid w:val="00DD6C5B"/>
    <w:rsid w:val="00DE3610"/>
    <w:rsid w:val="00DE661E"/>
    <w:rsid w:val="00DF4C60"/>
    <w:rsid w:val="00E16F8B"/>
    <w:rsid w:val="00E21372"/>
    <w:rsid w:val="00E2697B"/>
    <w:rsid w:val="00E57D91"/>
    <w:rsid w:val="00E62CCD"/>
    <w:rsid w:val="00E65193"/>
    <w:rsid w:val="00E66098"/>
    <w:rsid w:val="00E703E5"/>
    <w:rsid w:val="00E84C45"/>
    <w:rsid w:val="00ED2B00"/>
    <w:rsid w:val="00EF1FC6"/>
    <w:rsid w:val="00F06CFF"/>
    <w:rsid w:val="00F157BB"/>
    <w:rsid w:val="00F20771"/>
    <w:rsid w:val="00F22D34"/>
    <w:rsid w:val="00F3243A"/>
    <w:rsid w:val="00F446EC"/>
    <w:rsid w:val="00F52303"/>
    <w:rsid w:val="00F55328"/>
    <w:rsid w:val="00F75CB8"/>
    <w:rsid w:val="00F75CF9"/>
    <w:rsid w:val="00F81E43"/>
    <w:rsid w:val="00F909FD"/>
    <w:rsid w:val="00FA239D"/>
    <w:rsid w:val="00FB3C35"/>
    <w:rsid w:val="00FC6AA9"/>
    <w:rsid w:val="00FD1ECC"/>
    <w:rsid w:val="00FD3AEE"/>
    <w:rsid w:val="00FF1433"/>
    <w:rsid w:val="00FF2337"/>
    <w:rsid w:val="00FF7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C1DCA"/>
  <w15:docId w15:val="{3AFB713F-3DE1-4F58-8F56-BB1B54773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831"/>
    <w:pPr>
      <w:ind w:firstLine="397"/>
      <w:jc w:val="both"/>
    </w:pPr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497831"/>
    <w:pPr>
      <w:keepNext/>
      <w:ind w:firstLine="0"/>
      <w:jc w:val="center"/>
      <w:outlineLvl w:val="0"/>
    </w:pPr>
    <w:rPr>
      <w:b/>
      <w:i/>
    </w:rPr>
  </w:style>
  <w:style w:type="paragraph" w:styleId="2">
    <w:name w:val="heading 2"/>
    <w:basedOn w:val="a"/>
    <w:next w:val="a"/>
    <w:qFormat/>
    <w:rsid w:val="00497831"/>
    <w:pPr>
      <w:keepNext/>
      <w:ind w:firstLine="426"/>
      <w:outlineLvl w:val="1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97831"/>
    <w:pPr>
      <w:spacing w:line="360" w:lineRule="auto"/>
      <w:ind w:firstLine="426"/>
    </w:pPr>
  </w:style>
  <w:style w:type="paragraph" w:styleId="a4">
    <w:name w:val="Body Text"/>
    <w:basedOn w:val="a"/>
    <w:rsid w:val="00497831"/>
    <w:pPr>
      <w:spacing w:line="360" w:lineRule="auto"/>
    </w:pPr>
  </w:style>
  <w:style w:type="paragraph" w:styleId="20">
    <w:name w:val="Body Text 2"/>
    <w:basedOn w:val="a"/>
    <w:rsid w:val="00497831"/>
    <w:pPr>
      <w:ind w:firstLine="0"/>
    </w:pPr>
    <w:rPr>
      <w:sz w:val="20"/>
    </w:rPr>
  </w:style>
  <w:style w:type="paragraph" w:styleId="21">
    <w:name w:val="Body Text Indent 2"/>
    <w:basedOn w:val="a"/>
    <w:rsid w:val="00497831"/>
    <w:pPr>
      <w:tabs>
        <w:tab w:val="left" w:pos="426"/>
      </w:tabs>
      <w:ind w:left="284" w:hanging="284"/>
    </w:pPr>
    <w:rPr>
      <w:sz w:val="20"/>
    </w:rPr>
  </w:style>
  <w:style w:type="paragraph" w:styleId="3">
    <w:name w:val="Body Text 3"/>
    <w:basedOn w:val="a"/>
    <w:rsid w:val="00497831"/>
    <w:pPr>
      <w:tabs>
        <w:tab w:val="left" w:pos="2410"/>
        <w:tab w:val="left" w:pos="2835"/>
      </w:tabs>
      <w:ind w:firstLine="0"/>
    </w:pPr>
  </w:style>
  <w:style w:type="paragraph" w:styleId="30">
    <w:name w:val="Body Text Indent 3"/>
    <w:basedOn w:val="a"/>
    <w:rsid w:val="00497831"/>
    <w:pPr>
      <w:ind w:firstLine="284"/>
    </w:pPr>
    <w:rPr>
      <w:sz w:val="22"/>
    </w:rPr>
  </w:style>
  <w:style w:type="character" w:styleId="a5">
    <w:name w:val="Hyperlink"/>
    <w:rsid w:val="00497831"/>
    <w:rPr>
      <w:color w:val="0000FF"/>
      <w:u w:val="single"/>
    </w:rPr>
  </w:style>
  <w:style w:type="paragraph" w:styleId="a6">
    <w:name w:val="Balloon Text"/>
    <w:basedOn w:val="a"/>
    <w:semiHidden/>
    <w:rsid w:val="00D72D5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rsid w:val="00C26397"/>
  </w:style>
  <w:style w:type="character" w:styleId="a8">
    <w:name w:val="Strong"/>
    <w:uiPriority w:val="22"/>
    <w:qFormat/>
    <w:rsid w:val="00C26397"/>
    <w:rPr>
      <w:b/>
      <w:bCs/>
    </w:rPr>
  </w:style>
  <w:style w:type="paragraph" w:customStyle="1" w:styleId="22">
    <w:name w:val="2"/>
    <w:basedOn w:val="a"/>
    <w:rsid w:val="00C26397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</w:rPr>
  </w:style>
  <w:style w:type="character" w:styleId="a9">
    <w:name w:val="Emphasis"/>
    <w:uiPriority w:val="20"/>
    <w:qFormat/>
    <w:rsid w:val="00C26397"/>
    <w:rPr>
      <w:i/>
      <w:iCs/>
    </w:rPr>
  </w:style>
  <w:style w:type="character" w:styleId="aa">
    <w:name w:val="FollowedHyperlink"/>
    <w:rsid w:val="00276158"/>
    <w:rPr>
      <w:color w:val="954F72"/>
      <w:u w:val="single"/>
    </w:rPr>
  </w:style>
  <w:style w:type="character" w:customStyle="1" w:styleId="dropdown-user-namefirst-letter">
    <w:name w:val="dropdown-user-name__first-letter"/>
    <w:rsid w:val="00276158"/>
  </w:style>
  <w:style w:type="character" w:styleId="ab">
    <w:name w:val="annotation reference"/>
    <w:rsid w:val="006C30F5"/>
    <w:rPr>
      <w:sz w:val="16"/>
      <w:szCs w:val="16"/>
    </w:rPr>
  </w:style>
  <w:style w:type="paragraph" w:styleId="ac">
    <w:name w:val="annotation text"/>
    <w:basedOn w:val="a"/>
    <w:link w:val="ad"/>
    <w:rsid w:val="006C30F5"/>
    <w:rPr>
      <w:sz w:val="20"/>
    </w:rPr>
  </w:style>
  <w:style w:type="character" w:customStyle="1" w:styleId="ad">
    <w:name w:val="Текст примечания Знак"/>
    <w:link w:val="ac"/>
    <w:rsid w:val="006C30F5"/>
    <w:rPr>
      <w:rFonts w:ascii="Arial" w:hAnsi="Arial"/>
    </w:rPr>
  </w:style>
  <w:style w:type="paragraph" w:styleId="ae">
    <w:name w:val="annotation subject"/>
    <w:basedOn w:val="ac"/>
    <w:next w:val="ac"/>
    <w:link w:val="af"/>
    <w:rsid w:val="006C30F5"/>
    <w:rPr>
      <w:b/>
      <w:bCs/>
    </w:rPr>
  </w:style>
  <w:style w:type="character" w:customStyle="1" w:styleId="af">
    <w:name w:val="Тема примечания Знак"/>
    <w:link w:val="ae"/>
    <w:rsid w:val="006C30F5"/>
    <w:rPr>
      <w:rFonts w:ascii="Arial" w:hAnsi="Arial"/>
      <w:b/>
      <w:bCs/>
    </w:rPr>
  </w:style>
  <w:style w:type="paragraph" w:customStyle="1" w:styleId="af0">
    <w:name w:val="Текст публикации"/>
    <w:basedOn w:val="a"/>
    <w:link w:val="af1"/>
    <w:qFormat/>
    <w:rsid w:val="00945DCD"/>
    <w:rPr>
      <w:rFonts w:ascii="Times New Roman" w:eastAsia="Calibri" w:hAnsi="Times New Roman"/>
      <w:sz w:val="20"/>
      <w:szCs w:val="22"/>
      <w:lang w:eastAsia="en-US"/>
    </w:rPr>
  </w:style>
  <w:style w:type="character" w:customStyle="1" w:styleId="af1">
    <w:name w:val="Текст публикации Знак"/>
    <w:basedOn w:val="a0"/>
    <w:link w:val="af0"/>
    <w:rsid w:val="00945DCD"/>
    <w:rPr>
      <w:rFonts w:eastAsia="Calibri"/>
      <w:szCs w:val="22"/>
      <w:lang w:eastAsia="en-US"/>
    </w:rPr>
  </w:style>
  <w:style w:type="character" w:customStyle="1" w:styleId="tlid-translation">
    <w:name w:val="tlid-translation"/>
    <w:basedOn w:val="a0"/>
    <w:rsid w:val="00B47B06"/>
  </w:style>
  <w:style w:type="paragraph" w:styleId="af2">
    <w:name w:val="List Paragraph"/>
    <w:basedOn w:val="a"/>
    <w:uiPriority w:val="34"/>
    <w:qFormat/>
    <w:rsid w:val="00A84984"/>
    <w:pPr>
      <w:ind w:left="720"/>
      <w:contextualSpacing/>
    </w:pPr>
  </w:style>
  <w:style w:type="paragraph" w:styleId="af3">
    <w:name w:val="caption"/>
    <w:basedOn w:val="a"/>
    <w:next w:val="a"/>
    <w:uiPriority w:val="35"/>
    <w:unhideWhenUsed/>
    <w:qFormat/>
    <w:rsid w:val="00FD1ECC"/>
    <w:pPr>
      <w:ind w:firstLine="0"/>
      <w:jc w:val="left"/>
    </w:pPr>
    <w:rPr>
      <w:rFonts w:ascii="Times New Roman" w:eastAsiaTheme="minorEastAsia" w:hAnsi="Times New Roman"/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61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717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Первое информационное сообщение</vt:lpstr>
    </vt:vector>
  </TitlesOfParts>
  <Company>Tidex</Company>
  <LinksUpToDate>false</LinksUpToDate>
  <CharactersWithSpaces>4795</CharactersWithSpaces>
  <SharedDoc>false</SharedDoc>
  <HLinks>
    <vt:vector size="12" baseType="variant">
      <vt:variant>
        <vt:i4>3866640</vt:i4>
      </vt:variant>
      <vt:variant>
        <vt:i4>3</vt:i4>
      </vt:variant>
      <vt:variant>
        <vt:i4>0</vt:i4>
      </vt:variant>
      <vt:variant>
        <vt:i4>5</vt:i4>
      </vt:variant>
      <vt:variant>
        <vt:lpwstr>mailto:bgtusapr2017@yandex.ru</vt:lpwstr>
      </vt:variant>
      <vt:variant>
        <vt:lpwstr/>
      </vt:variant>
      <vt:variant>
        <vt:i4>4784201</vt:i4>
      </vt:variant>
      <vt:variant>
        <vt:i4>0</vt:i4>
      </vt:variant>
      <vt:variant>
        <vt:i4>0</vt:i4>
      </vt:variant>
      <vt:variant>
        <vt:i4>5</vt:i4>
      </vt:variant>
      <vt:variant>
        <vt:lpwstr>http://www.tu-bryansk.ru/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Первое информационное сообщение</dc:title>
  <dc:creator>alina</dc:creator>
  <cp:lastModifiedBy>admin</cp:lastModifiedBy>
  <cp:revision>7</cp:revision>
  <cp:lastPrinted>2018-05-07T09:26:00Z</cp:lastPrinted>
  <dcterms:created xsi:type="dcterms:W3CDTF">2020-10-07T12:55:00Z</dcterms:created>
  <dcterms:modified xsi:type="dcterms:W3CDTF">2020-10-08T12:02:00Z</dcterms:modified>
</cp:coreProperties>
</file>